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/>
          <w:b/>
          <w:bCs/>
          <w:color w:val="auto"/>
          <w:sz w:val="30"/>
          <w:szCs w:val="30"/>
          <w:lang w:eastAsia="zh-CN"/>
        </w:rPr>
      </w:pPr>
      <w:bookmarkStart w:id="11" w:name="_GoBack"/>
      <w:bookmarkEnd w:id="11"/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广东隆源实业有限公司年环境信息公开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  <w:lang w:val="en-US" w:eastAsia="zh-CN"/>
        </w:rPr>
        <w:t>2021年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建设单位基本信息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4490"/>
        <w:gridCol w:w="2214"/>
        <w:gridCol w:w="5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东隆源实业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有限公司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5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91440512742954663M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汕头市濠江区磊广大道62号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55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N23°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51.95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″、E116°4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37.02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徐楚雄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55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环保负责人</w:t>
            </w:r>
          </w:p>
        </w:tc>
        <w:tc>
          <w:tcPr>
            <w:tcW w:w="4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陈智畅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5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15992221270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4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C2926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塑料零件及其他塑料制品制造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chenzhichang@lypack.com.cn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4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2006年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生产周期</w:t>
            </w:r>
          </w:p>
        </w:tc>
        <w:tc>
          <w:tcPr>
            <w:tcW w:w="55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320天/年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4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占地面积</w:t>
            </w:r>
          </w:p>
        </w:tc>
        <w:tc>
          <w:tcPr>
            <w:tcW w:w="55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21322m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1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广东隆源实业有限公司是集科研、开发、销售于一体的专业PET注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吹瓶的生产企业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在生产中主要设有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塑、吹瓶等工序。公司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设计生产能力为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使用塑料原料聚对苯二甲酸乙二酯（PET）10000吨、聚乙烯（PE）2000吨、色母粒20吨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生产PET瓶坯8550吨、PET容器瓶950吨、PE瓶盖1900吨。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default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企业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生产情况</w:t>
      </w: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企业</w:t>
      </w:r>
      <w:r>
        <w:rPr>
          <w:rFonts w:hint="eastAsia"/>
          <w:color w:val="auto"/>
          <w:sz w:val="24"/>
          <w:szCs w:val="24"/>
          <w:lang w:val="en-US" w:eastAsia="zh-CN"/>
        </w:rPr>
        <w:t>2021年</w:t>
      </w:r>
      <w:r>
        <w:rPr>
          <w:rFonts w:hint="eastAsia"/>
          <w:color w:val="auto"/>
          <w:sz w:val="24"/>
          <w:szCs w:val="24"/>
          <w:lang w:val="en-US" w:eastAsia="zh-CN"/>
        </w:rPr>
        <w:t>生产情况一览表</w:t>
      </w: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rFonts w:hint="eastAsia"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工业生产总值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4000万元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生产时间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2240小时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用水量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6500吨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用电量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120万千瓦时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生产工艺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注塑、吹瓶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污染物种类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废气、噪声、固废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原辅材料使用情况</w:t>
            </w:r>
          </w:p>
        </w:tc>
        <w:tc>
          <w:tcPr>
            <w:tcW w:w="10631" w:type="dxa"/>
            <w:gridSpan w:val="3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聚对苯二甲酸乙二酯（PET）5100吨；聚乙烯（PE）1050吨；色母粒10吨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产能</w:t>
            </w:r>
          </w:p>
        </w:tc>
        <w:tc>
          <w:tcPr>
            <w:tcW w:w="10631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PET瓶坯4367吨、PET容器瓶485吨、PE瓶盖1000吨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/>
          <w:color w:val="auto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企业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环保投资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企业于2021年引入一套“污染源挥发性有机物（总烃、非甲烷总烃）在线监测”设备，共计投入35万元，该设备可以在线监测烟气中的挥发性有机物（包括总烃、甲烷、非甲烷总烃等），有利于企业实时掌握污染物排放情况、做好污染物防范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企业污染物排放情况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废气</w:t>
      </w:r>
    </w:p>
    <w:p>
      <w:pPr>
        <w:pStyle w:val="4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废气排放信息1</w:t>
      </w:r>
    </w:p>
    <w:p>
      <w:pPr>
        <w:pStyle w:val="4"/>
        <w:jc w:val="center"/>
        <w:outlineLvl w:val="0"/>
        <w:rPr>
          <w:rFonts w:hint="default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89"/>
        <w:gridCol w:w="3995"/>
        <w:gridCol w:w="6"/>
        <w:gridCol w:w="2299"/>
        <w:gridCol w:w="1702"/>
        <w:gridCol w:w="873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排放口名称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注塑吹瓶车间有机废气排放口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排放口位置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厂区西南侧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排放口编号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FQ-50399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排放口设置情况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符合排污口规范化技术要求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执行的排放标准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颗粒物、非甲烷总烃执行《合成树脂工业污染物排放标准》GB 31572-2015中的表5 大气污染物特别排放限值；臭气浓度排放执行《恶臭污染物排放标准》(GB14554-93)表 2恶臭污染物排放标准值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排放形式和排放规律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有组织排放，连续排放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排放去向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排入大气外环境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排气筒高度和内径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高20米，内径0.8米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广州华优检测技术服务有限公司，委托检测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1次/天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大气污染物名称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臭气浓度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年总量控制指标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3.41t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排放限制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浓度限值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20mg/m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60mg/m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6000（无量纲）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速率限值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120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排放浓度（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6.27（吸附）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15.6（吸附）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226（吸附）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4.57（脱附）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14.2（脱附）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189（脱附）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5.42（均值）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14.9（均值）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207.5（均值）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排放量（t）</w:t>
            </w: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0.29 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0.80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</w:p>
    <w:p>
      <w:pPr>
        <w:pStyle w:val="4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废气排放信息2</w:t>
      </w:r>
    </w:p>
    <w:p>
      <w:pPr>
        <w:pStyle w:val="4"/>
        <w:jc w:val="center"/>
        <w:outlineLvl w:val="0"/>
        <w:rPr>
          <w:rFonts w:hint="default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89"/>
        <w:gridCol w:w="3995"/>
        <w:gridCol w:w="6"/>
        <w:gridCol w:w="2299"/>
        <w:gridCol w:w="1702"/>
        <w:gridCol w:w="873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排放口名称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瓶盖车间有机废气排放口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排放口位置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厂区东南侧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排放口编号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  <w:t>FQ-50400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排放口设置情况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符合排污口规范化技术要求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执行的排放标准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颗粒物、非甲烷总烃执行《合成树脂工业污染物排放标准》GB 31572-2015中的表5 大气污染物特别排放限值；臭气浓度排放执行《恶臭污染物排放标准》(GB14554-93)表 2恶臭污染物排放标准值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排放形式和排放规律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有组织排放，连续排放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排放去向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排入大气外环境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排气筒高度和内径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高15米，内径0.6米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广州华优检测技术服务有限公司，委托检测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1次/天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大气污染物名称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臭气浓度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年总量控制指标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0.68t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排放限制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浓度限值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20mg/m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60mg/m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2000（无量纲）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速率限值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120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排放浓度（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6.72（吸附）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12.7（吸附）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269（吸附）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6.13（脱附）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11.5（脱附）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250（脱附）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6.43（均值）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12.1（均值）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排放量（t）</w:t>
            </w: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0.20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0.38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/ </w:t>
            </w:r>
          </w:p>
        </w:tc>
      </w:tr>
    </w:tbl>
    <w:p>
      <w:pPr>
        <w:pStyle w:val="4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</w:p>
    <w:p>
      <w:pPr>
        <w:pStyle w:val="4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废气排放信息3</w:t>
      </w:r>
    </w:p>
    <w:p>
      <w:pPr>
        <w:pStyle w:val="4"/>
        <w:jc w:val="center"/>
        <w:outlineLvl w:val="0"/>
        <w:rPr>
          <w:rFonts w:hint="default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4762"/>
        <w:gridCol w:w="2350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监测内容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无组织废气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大气污染物名称</w:t>
            </w:r>
          </w:p>
        </w:tc>
        <w:tc>
          <w:tcPr>
            <w:tcW w:w="49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颗粒物、非甲烷总烃、臭气浓度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广州华优检测技术服务有限公司，委托检测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监测点位个数</w:t>
            </w:r>
          </w:p>
        </w:tc>
        <w:tc>
          <w:tcPr>
            <w:tcW w:w="49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监测点位个数</w:t>
            </w: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颗粒物4个，非甲烷总烃4个，臭气浓度4个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4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Align w:val="center"/>
          </w:tcPr>
          <w:p>
            <w:pPr>
              <w:pStyle w:val="4"/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执行标准</w:t>
            </w:r>
          </w:p>
        </w:tc>
        <w:tc>
          <w:tcPr>
            <w:tcW w:w="120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非甲烷总烃、颗粒物排放执行《合成树脂工业污染物排放标准》(GB31572-2015) 表9企业边界大气污染物浓度限值；臭气浓度排放执行《恶臭污染物排放标准》(GB14554-93) 表1中二级新建项目恶臭污染物厂界标准值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57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污染因子</w:t>
            </w:r>
          </w:p>
        </w:tc>
        <w:tc>
          <w:tcPr>
            <w:tcW w:w="4762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监测点位</w:t>
            </w:r>
          </w:p>
        </w:tc>
        <w:tc>
          <w:tcPr>
            <w:tcW w:w="23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检测值（mg/m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4905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标准限值（mg/m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57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颗粒物</w:t>
            </w:r>
          </w:p>
        </w:tc>
        <w:tc>
          <w:tcPr>
            <w:tcW w:w="4762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厂界上风向参照点</w:t>
            </w:r>
          </w:p>
        </w:tc>
        <w:tc>
          <w:tcPr>
            <w:tcW w:w="23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  <w:tc>
          <w:tcPr>
            <w:tcW w:w="4905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厂界下风向参照点</w:t>
            </w:r>
          </w:p>
        </w:tc>
        <w:tc>
          <w:tcPr>
            <w:tcW w:w="23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0.32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厂界下风向参照点</w:t>
            </w:r>
          </w:p>
        </w:tc>
        <w:tc>
          <w:tcPr>
            <w:tcW w:w="23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0.35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厂界下风向参照点</w:t>
            </w:r>
          </w:p>
        </w:tc>
        <w:tc>
          <w:tcPr>
            <w:tcW w:w="23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0.38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57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非甲烷总烃</w:t>
            </w:r>
          </w:p>
        </w:tc>
        <w:tc>
          <w:tcPr>
            <w:tcW w:w="4762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厂界东北侧2米处监控点</w:t>
            </w:r>
          </w:p>
        </w:tc>
        <w:tc>
          <w:tcPr>
            <w:tcW w:w="23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1.71</w:t>
            </w:r>
          </w:p>
        </w:tc>
        <w:tc>
          <w:tcPr>
            <w:tcW w:w="4905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厂界西北侧2米处监控点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1.12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厂界西南侧2米处监控点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0.91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厂界东南侧2米处监控点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1.37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57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臭气浓度</w:t>
            </w:r>
          </w:p>
        </w:tc>
        <w:tc>
          <w:tcPr>
            <w:tcW w:w="4762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厂界东北侧2米处监控点</w:t>
            </w:r>
          </w:p>
        </w:tc>
        <w:tc>
          <w:tcPr>
            <w:tcW w:w="23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12（无量纲）</w:t>
            </w:r>
          </w:p>
        </w:tc>
        <w:tc>
          <w:tcPr>
            <w:tcW w:w="4905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20（无量纲）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厂界西北侧2米处监控点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11（无量纲）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厂界西南侧2米处监控点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10（无量纲）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厂界东南侧2米处监控点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10（无量纲）</w:t>
            </w:r>
          </w:p>
        </w:tc>
        <w:tc>
          <w:tcPr>
            <w:tcW w:w="4905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2、废水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废</w:t>
      </w:r>
      <w:r>
        <w:rPr>
          <w:rFonts w:hint="eastAsia" w:hAnsi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水</w:t>
      </w: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排放信息</w:t>
      </w:r>
    </w:p>
    <w:p>
      <w:pPr>
        <w:pStyle w:val="2"/>
        <w:jc w:val="center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5600"/>
        <w:gridCol w:w="2963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排放口名称</w:t>
            </w:r>
          </w:p>
        </w:tc>
        <w:tc>
          <w:tcPr>
            <w:tcW w:w="5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生活污水排放口</w:t>
            </w:r>
          </w:p>
        </w:tc>
        <w:tc>
          <w:tcPr>
            <w:tcW w:w="2963" w:type="dxa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排放口位置</w:t>
            </w:r>
          </w:p>
        </w:tc>
        <w:tc>
          <w:tcPr>
            <w:tcW w:w="312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厂区西北侧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排放口编号</w:t>
            </w:r>
          </w:p>
        </w:tc>
        <w:tc>
          <w:tcPr>
            <w:tcW w:w="56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WS-50248</w:t>
            </w:r>
          </w:p>
        </w:tc>
        <w:tc>
          <w:tcPr>
            <w:tcW w:w="296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排放口设置情况</w:t>
            </w:r>
          </w:p>
        </w:tc>
        <w:tc>
          <w:tcPr>
            <w:tcW w:w="3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符合排污口规范化技术要求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核定年排放废水总量</w:t>
            </w:r>
          </w:p>
        </w:tc>
        <w:tc>
          <w:tcPr>
            <w:tcW w:w="5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2520吨/年</w:t>
            </w:r>
          </w:p>
        </w:tc>
        <w:tc>
          <w:tcPr>
            <w:tcW w:w="296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实际年排放废水总量</w:t>
            </w:r>
          </w:p>
        </w:tc>
        <w:tc>
          <w:tcPr>
            <w:tcW w:w="3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2520吨/年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执行的排放标准</w:t>
            </w:r>
          </w:p>
        </w:tc>
        <w:tc>
          <w:tcPr>
            <w:tcW w:w="5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广东省地方标准《水污染物排放限值》（DB44/26-2001）第二时段第二类污染物三级标准</w:t>
            </w:r>
          </w:p>
        </w:tc>
        <w:tc>
          <w:tcPr>
            <w:tcW w:w="296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排放形式和排放规律</w:t>
            </w:r>
          </w:p>
        </w:tc>
        <w:tc>
          <w:tcPr>
            <w:tcW w:w="3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有组织排放，间歇式排放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排放去向</w:t>
            </w:r>
          </w:p>
        </w:tc>
        <w:tc>
          <w:tcPr>
            <w:tcW w:w="116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汕头市南区污水处理濠江分厂</w:t>
            </w:r>
          </w:p>
        </w:tc>
      </w:tr>
    </w:tbl>
    <w:p>
      <w:pPr>
        <w:pStyle w:val="2"/>
        <w:jc w:val="center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center"/>
        <w:rPr>
          <w:rFonts w:hint="default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3、噪声</w:t>
      </w:r>
    </w:p>
    <w:p>
      <w:pPr>
        <w:pStyle w:val="4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噪声排放信息1</w:t>
      </w:r>
    </w:p>
    <w:p>
      <w:pPr>
        <w:pStyle w:val="4"/>
        <w:jc w:val="center"/>
        <w:outlineLvl w:val="0"/>
        <w:rPr>
          <w:rFonts w:hint="default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3761"/>
        <w:gridCol w:w="926"/>
        <w:gridCol w:w="2113"/>
        <w:gridCol w:w="911"/>
        <w:gridCol w:w="4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执行的排放标准</w:t>
            </w:r>
          </w:p>
        </w:tc>
        <w:tc>
          <w:tcPr>
            <w:tcW w:w="117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《工业企业厂界环境噪声排放标准》（GB12348-2008）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2、4类标准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46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广州本科检测有限公司，委托检测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49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2021年1月7日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实际监测结果（昼间）</w:t>
            </w: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监测数值</w:t>
            </w:r>
          </w:p>
        </w:tc>
        <w:tc>
          <w:tcPr>
            <w:tcW w:w="40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标准限制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东北侧厂界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58.9dB(A)</w:t>
            </w:r>
          </w:p>
        </w:tc>
        <w:tc>
          <w:tcPr>
            <w:tcW w:w="40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70dB(A)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东南侧厂界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60.0dB(A)</w:t>
            </w:r>
          </w:p>
        </w:tc>
        <w:tc>
          <w:tcPr>
            <w:tcW w:w="40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西南侧厂界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59.2dB(A)</w:t>
            </w:r>
          </w:p>
        </w:tc>
        <w:tc>
          <w:tcPr>
            <w:tcW w:w="40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60dB(A)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</w:p>
    <w:p>
      <w:pPr>
        <w:pStyle w:val="4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噪声排放信息2</w:t>
      </w:r>
    </w:p>
    <w:p>
      <w:pPr>
        <w:pStyle w:val="4"/>
        <w:jc w:val="center"/>
        <w:outlineLvl w:val="0"/>
        <w:rPr>
          <w:rFonts w:hint="default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3761"/>
        <w:gridCol w:w="939"/>
        <w:gridCol w:w="2100"/>
        <w:gridCol w:w="911"/>
        <w:gridCol w:w="4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执行的排放标准</w:t>
            </w:r>
          </w:p>
        </w:tc>
        <w:tc>
          <w:tcPr>
            <w:tcW w:w="117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《工业企业厂界环境噪声排放标准》（GB12348-2008）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2、4类标准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4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广州华优检测技术服务有限公司，委托检测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49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2021年8月2日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实际监测结果（昼间）</w:t>
            </w: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监测数值</w:t>
            </w:r>
          </w:p>
        </w:tc>
        <w:tc>
          <w:tcPr>
            <w:tcW w:w="40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标准限制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东北侧厂界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63.2dB(A)</w:t>
            </w:r>
          </w:p>
        </w:tc>
        <w:tc>
          <w:tcPr>
            <w:tcW w:w="40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70dB(A)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东南侧厂界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58.3dB(A)</w:t>
            </w:r>
          </w:p>
        </w:tc>
        <w:tc>
          <w:tcPr>
            <w:tcW w:w="40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西南侧厂界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59.2dB(A)</w:t>
            </w:r>
          </w:p>
        </w:tc>
        <w:tc>
          <w:tcPr>
            <w:tcW w:w="40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60dB(A)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4、固体废物</w:t>
      </w:r>
    </w:p>
    <w:p>
      <w:pPr>
        <w:pStyle w:val="4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固体废物排放信息</w:t>
      </w:r>
    </w:p>
    <w:p>
      <w:pPr>
        <w:pStyle w:val="4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66"/>
        <w:gridCol w:w="2234"/>
        <w:gridCol w:w="2602"/>
        <w:gridCol w:w="1185"/>
        <w:gridCol w:w="1138"/>
        <w:gridCol w:w="1112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固废类别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固废名称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产生量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转移量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贮存量</w:t>
            </w:r>
          </w:p>
        </w:tc>
        <w:tc>
          <w:tcPr>
            <w:tcW w:w="365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一般固体废物</w:t>
            </w: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边角料及不合格品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292-001-06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292吨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292吨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外卖给其他厂家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废原料包装物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292-001-06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3吨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3吨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交由具有一般工业固废处理能力的单位处置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危险废物</w:t>
            </w: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HW 49 900-039-49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计划2022年进行设备维护后，产生的危废委托惠州东江威立雅环境服务有限公司处理，本年度无危废产生与处理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废矿物油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HW 08 900-249-08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废含油抹布及手套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HW 49 900-041-49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废空桶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HW 49 900-041-4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left"/>
        <w:outlineLvl w:val="0"/>
        <w:rPr>
          <w:rFonts w:hint="default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企业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环保设施运行情况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企业于2020年末安装两套“活性炭吸附脱附+在线催化燃烧”设备用于处理注塑、吹瓶工序产生的有机废气非甲烷总统。两套废气处理设备于2021年处于正常运行状态。</w:t>
      </w:r>
    </w:p>
    <w:p>
      <w:pPr>
        <w:pStyle w:val="4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废气处理设施运行信息</w:t>
      </w:r>
    </w:p>
    <w:p>
      <w:pPr>
        <w:pStyle w:val="4"/>
        <w:jc w:val="center"/>
        <w:outlineLvl w:val="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238"/>
        <w:gridCol w:w="1392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设施编号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治理设施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投运日期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处理工艺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设计处理能力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实际处理能力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运行时间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FQ-001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活性炭吸附脱附+在线催化燃烧装置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2020.12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干式过滤+活性炭吸附脱附+在线催化燃烧工艺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30000m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8小时/天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FQ-002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活性炭吸附脱附+在线催化燃烧装置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2020.12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8小时/天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正常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color w:val="auto"/>
        </w:rPr>
      </w:pPr>
      <w:r>
        <w:rPr>
          <w:rFonts w:hint="eastAsia" w:ascii="宋体" w:hAnsi="宋体" w:eastAsia="宋体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环评及其它行政许可信息</w:t>
      </w: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rFonts w:hint="default"/>
          <w:color w:val="auto"/>
          <w:lang w:val="en-US" w:eastAsia="zh-CN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063"/>
        <w:gridCol w:w="3612"/>
        <w:gridCol w:w="1163"/>
        <w:gridCol w:w="1600"/>
        <w:gridCol w:w="687"/>
        <w:gridCol w:w="987"/>
        <w:gridCol w:w="705"/>
        <w:gridCol w:w="1246"/>
        <w:gridCol w:w="710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主要内容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9"/>
              <w:bidi w:val="0"/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审批</w:t>
            </w: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审批部门</w:t>
            </w:r>
            <w:r>
              <w:rPr>
                <w:rFonts w:hint="eastAsia"/>
                <w:color w:val="auto"/>
                <w:lang w:val="en-US" w:eastAsia="zh-CN"/>
              </w:rPr>
              <w:t>/组织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审批意见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批文号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验收时间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验收部门/组织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验收意见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pStyle w:val="9"/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验收批文号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《汕头市隆源实业有限公司建设项目环境影响报告表》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年产PET容器瓶 5000吨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2007年6月18日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汕头市环境保护局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2016年12月1日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汕头市濠江区城市建设管理和环境保护局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汕濠环验［2016］51号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pStyle w:val="10"/>
              <w:bidi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</w:t>
            </w:r>
            <w:bookmarkStart w:id="0" w:name="_Toc25143"/>
            <w:bookmarkStart w:id="1" w:name="_Toc2322"/>
            <w:bookmarkStart w:id="2" w:name="_Toc5035"/>
            <w:bookmarkStart w:id="3" w:name="_Toc12287"/>
            <w:bookmarkStart w:id="4" w:name="_Toc10760"/>
            <w:bookmarkStart w:id="5" w:name="_Toc76767109"/>
            <w:bookmarkStart w:id="6" w:name="_Toc76764189"/>
            <w:bookmarkStart w:id="7" w:name="_Toc17245"/>
            <w:bookmarkStart w:id="8" w:name="_Toc31547"/>
            <w:bookmarkStart w:id="9" w:name="_Toc76767230"/>
            <w:bookmarkStart w:id="10" w:name="_Toc31899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广东隆源实业有限公司VOCs综合整治一企一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方案》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针对企业实际生产情况，从过程控制、末端治理等方面实行VOCs减排措施。核定企业年使用塑料原料聚对苯二甲酸乙二酯（PET）10000吨、聚乙烯（PE）2000吨、色母粒20吨。设计生产能力为PET瓶坯8550吨、PET容器瓶950吨、PE瓶盖1900吨。VOCs排放量为12.88t/a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2020年9月26日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广东隆源实业有限公司VOCs综合整治一企一方案评审小组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2020年12月31日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广东隆源实业有限公司VOCs综合整治一企一方案核查小组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pStyle w:val="10"/>
              <w:bidi w:val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《广东隆源实业有限公司突发环境环境事件应急预案》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制定了广东隆源实业有限公司突发环境环境事件应急预案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2022年1月5日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汕头市生态环境局濠江分局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440512-2022-01L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</w:tbl>
    <w:p>
      <w:pPr>
        <w:pStyle w:val="8"/>
        <w:numPr>
          <w:ilvl w:val="0"/>
          <w:numId w:val="0"/>
        </w:numPr>
        <w:bidi w:val="0"/>
        <w:ind w:leftChars="0"/>
        <w:jc w:val="both"/>
        <w:rPr>
          <w:rFonts w:hint="default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微软雅黑" w:hAnsi="微软雅黑" w:eastAsia="微软雅黑"/>
          <w:color w:val="auto"/>
          <w:sz w:val="30"/>
          <w:szCs w:val="30"/>
        </w:rPr>
      </w:pPr>
      <w:r>
        <w:rPr>
          <w:rFonts w:hint="eastAsia" w:ascii="宋体" w:hAnsi="宋体" w:eastAsia="宋体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其它环境信息</w:t>
      </w:r>
    </w:p>
    <w:tbl>
      <w:tblPr>
        <w:tblStyle w:val="6"/>
        <w:tblpPr w:leftFromText="180" w:rightFromText="180" w:vertAnchor="text" w:horzAnchor="page" w:tblpX="1417" w:tblpY="5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1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履行社会责任情况</w:t>
            </w:r>
          </w:p>
        </w:tc>
        <w:tc>
          <w:tcPr>
            <w:tcW w:w="11571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公司严格遵守环保法律法规，在2020年实行了VOCs综合整治一企一方案，通过过程控制、末端治理等方面实行VOCs减排措施，有效降低了有机废气污染物排放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环保方针和年度环保目标及成效</w:t>
            </w:r>
          </w:p>
        </w:tc>
        <w:tc>
          <w:tcPr>
            <w:tcW w:w="11571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环境保护方针：以人为本、节能减排、综合利用；回报社会</w:t>
            </w:r>
          </w:p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年度环境保护目标及成效：启用先进的生产设备和环保设备，降低了污染物的排放。依靠科技进步，促进环境保护落实环保责任制，促进环保常态化管理，确保环保设施运行正常，在环保的大前提下，公司按照在“思想上环保工作一刻不能放松、在行动上环保工作一丝不能马虎”的理念努力做好环保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环保投资和环境技术开发情况</w:t>
            </w:r>
          </w:p>
        </w:tc>
        <w:tc>
          <w:tcPr>
            <w:tcW w:w="11571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在原有的环保设备基础上，公司于2021年末投入35万元引入一套“污染源挥发性有机物（总烃、非甲烷总烃）在线监测”设备，有利于企业实时掌握污染物排放情况、做好污染物防范措施</w:t>
            </w:r>
          </w:p>
        </w:tc>
      </w:tr>
    </w:tbl>
    <w:p>
      <w:pPr>
        <w:pStyle w:val="8"/>
        <w:numPr>
          <w:ilvl w:val="0"/>
          <w:numId w:val="0"/>
        </w:numPr>
        <w:bidi w:val="0"/>
        <w:spacing w:line="240" w:lineRule="auto"/>
        <w:ind w:leftChars="0"/>
        <w:jc w:val="both"/>
        <w:rPr>
          <w:rFonts w:hint="default"/>
          <w:color w:val="auto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7BBCD"/>
    <w:multiLevelType w:val="multilevel"/>
    <w:tmpl w:val="8E07BBCD"/>
    <w:lvl w:ilvl="0" w:tentative="0">
      <w:start w:val="1"/>
      <w:numFmt w:val="decimal"/>
      <w:pStyle w:val="8"/>
      <w:lvlText w:val="表%1"/>
      <w:lvlJc w:val="center"/>
      <w:pPr>
        <w:ind w:left="0" w:firstLine="0"/>
      </w:pPr>
      <w:rPr>
        <w:rFonts w:hint="default" w:ascii="宋体" w:hAnsi="宋体" w:eastAsia="宋体" w:cs="宋体"/>
        <w:b/>
        <w:i w:val="0"/>
        <w:color w:val="000000"/>
        <w:sz w:val="21"/>
      </w:rPr>
    </w:lvl>
    <w:lvl w:ilvl="1" w:tentative="0">
      <w:start w:val="1"/>
      <w:numFmt w:val="lowerLetter"/>
      <w:lvlText w:val="%2)"/>
      <w:lvlJc w:val="left"/>
      <w:pPr>
        <w:ind w:left="4809" w:hanging="420"/>
      </w:pPr>
    </w:lvl>
    <w:lvl w:ilvl="2" w:tentative="0">
      <w:start w:val="1"/>
      <w:numFmt w:val="lowerRoman"/>
      <w:lvlText w:val="%3."/>
      <w:lvlJc w:val="right"/>
      <w:pPr>
        <w:ind w:left="5229" w:hanging="420"/>
      </w:pPr>
    </w:lvl>
    <w:lvl w:ilvl="3" w:tentative="0">
      <w:start w:val="1"/>
      <w:numFmt w:val="decimal"/>
      <w:lvlText w:val="%4."/>
      <w:lvlJc w:val="left"/>
      <w:pPr>
        <w:ind w:left="5649" w:hanging="420"/>
      </w:pPr>
    </w:lvl>
    <w:lvl w:ilvl="4" w:tentative="0">
      <w:start w:val="1"/>
      <w:numFmt w:val="lowerLetter"/>
      <w:lvlText w:val="%5)"/>
      <w:lvlJc w:val="left"/>
      <w:pPr>
        <w:ind w:left="6069" w:hanging="420"/>
      </w:pPr>
    </w:lvl>
    <w:lvl w:ilvl="5" w:tentative="0">
      <w:start w:val="1"/>
      <w:numFmt w:val="lowerRoman"/>
      <w:lvlText w:val="%6."/>
      <w:lvlJc w:val="right"/>
      <w:pPr>
        <w:ind w:left="6489" w:hanging="420"/>
      </w:pPr>
    </w:lvl>
    <w:lvl w:ilvl="6" w:tentative="0">
      <w:start w:val="1"/>
      <w:numFmt w:val="decimal"/>
      <w:lvlText w:val="%7."/>
      <w:lvlJc w:val="left"/>
      <w:pPr>
        <w:ind w:left="6909" w:hanging="420"/>
      </w:pPr>
    </w:lvl>
    <w:lvl w:ilvl="7" w:tentative="0">
      <w:start w:val="1"/>
      <w:numFmt w:val="lowerLetter"/>
      <w:lvlText w:val="%8)"/>
      <w:lvlJc w:val="left"/>
      <w:pPr>
        <w:ind w:left="7329" w:hanging="420"/>
      </w:pPr>
    </w:lvl>
    <w:lvl w:ilvl="8" w:tentative="0">
      <w:start w:val="1"/>
      <w:numFmt w:val="lowerRoman"/>
      <w:lvlText w:val="%9."/>
      <w:lvlJc w:val="right"/>
      <w:pPr>
        <w:ind w:left="7749" w:hanging="420"/>
      </w:pPr>
    </w:lvl>
  </w:abstractNum>
  <w:abstractNum w:abstractNumId="1">
    <w:nsid w:val="01DF8C9C"/>
    <w:multiLevelType w:val="singleLevel"/>
    <w:tmpl w:val="01DF8C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4619C6"/>
    <w:multiLevelType w:val="singleLevel"/>
    <w:tmpl w:val="3E4619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BB"/>
    <w:rsid w:val="001C1D58"/>
    <w:rsid w:val="001C695A"/>
    <w:rsid w:val="0055574E"/>
    <w:rsid w:val="00706616"/>
    <w:rsid w:val="00765BBB"/>
    <w:rsid w:val="00A256D6"/>
    <w:rsid w:val="00A53AB6"/>
    <w:rsid w:val="00C97061"/>
    <w:rsid w:val="00F7687C"/>
    <w:rsid w:val="011D2EAB"/>
    <w:rsid w:val="016519C1"/>
    <w:rsid w:val="018251B8"/>
    <w:rsid w:val="026727B6"/>
    <w:rsid w:val="03236818"/>
    <w:rsid w:val="04162892"/>
    <w:rsid w:val="0605367C"/>
    <w:rsid w:val="072F7C85"/>
    <w:rsid w:val="0743347B"/>
    <w:rsid w:val="0864151C"/>
    <w:rsid w:val="090A7712"/>
    <w:rsid w:val="09F827C0"/>
    <w:rsid w:val="0A166889"/>
    <w:rsid w:val="0A255827"/>
    <w:rsid w:val="0A615791"/>
    <w:rsid w:val="0ABD1B55"/>
    <w:rsid w:val="0B3F66D6"/>
    <w:rsid w:val="0B5D05C2"/>
    <w:rsid w:val="0C1666D9"/>
    <w:rsid w:val="0C2F22A6"/>
    <w:rsid w:val="0C73630C"/>
    <w:rsid w:val="0C742150"/>
    <w:rsid w:val="0D352B8F"/>
    <w:rsid w:val="0DBF2DCB"/>
    <w:rsid w:val="0DC12235"/>
    <w:rsid w:val="0EF77800"/>
    <w:rsid w:val="0F302899"/>
    <w:rsid w:val="0F5F368A"/>
    <w:rsid w:val="0F84788C"/>
    <w:rsid w:val="0FDA723C"/>
    <w:rsid w:val="122A278C"/>
    <w:rsid w:val="13094A05"/>
    <w:rsid w:val="13946135"/>
    <w:rsid w:val="14514186"/>
    <w:rsid w:val="15125253"/>
    <w:rsid w:val="1833416F"/>
    <w:rsid w:val="1A703458"/>
    <w:rsid w:val="1C6230C8"/>
    <w:rsid w:val="1C7B6A17"/>
    <w:rsid w:val="1D663B83"/>
    <w:rsid w:val="1DBC7B4D"/>
    <w:rsid w:val="1F9E100E"/>
    <w:rsid w:val="1FE925F1"/>
    <w:rsid w:val="200A1C59"/>
    <w:rsid w:val="236B64FC"/>
    <w:rsid w:val="25F44AEC"/>
    <w:rsid w:val="264C7199"/>
    <w:rsid w:val="26FD2D04"/>
    <w:rsid w:val="27C70B1B"/>
    <w:rsid w:val="282121CF"/>
    <w:rsid w:val="28A44E81"/>
    <w:rsid w:val="28E46D90"/>
    <w:rsid w:val="2A0A068F"/>
    <w:rsid w:val="2B0A3AC5"/>
    <w:rsid w:val="2B3A5BCE"/>
    <w:rsid w:val="2BB62CC3"/>
    <w:rsid w:val="2BF646E4"/>
    <w:rsid w:val="2FDF7EFA"/>
    <w:rsid w:val="308275EA"/>
    <w:rsid w:val="314920DA"/>
    <w:rsid w:val="324A1519"/>
    <w:rsid w:val="3341378C"/>
    <w:rsid w:val="34A65D0F"/>
    <w:rsid w:val="366B77CE"/>
    <w:rsid w:val="36745C27"/>
    <w:rsid w:val="36B634EE"/>
    <w:rsid w:val="36D546CB"/>
    <w:rsid w:val="36E645C8"/>
    <w:rsid w:val="370E7993"/>
    <w:rsid w:val="37736310"/>
    <w:rsid w:val="3AED7987"/>
    <w:rsid w:val="3D006466"/>
    <w:rsid w:val="420C1409"/>
    <w:rsid w:val="43786C63"/>
    <w:rsid w:val="450231B3"/>
    <w:rsid w:val="45066DEA"/>
    <w:rsid w:val="454D27D4"/>
    <w:rsid w:val="45967968"/>
    <w:rsid w:val="464572C6"/>
    <w:rsid w:val="4674757D"/>
    <w:rsid w:val="46816616"/>
    <w:rsid w:val="471B73BB"/>
    <w:rsid w:val="47615D53"/>
    <w:rsid w:val="48B06374"/>
    <w:rsid w:val="49076FBD"/>
    <w:rsid w:val="4C783A45"/>
    <w:rsid w:val="4D265A75"/>
    <w:rsid w:val="4D770C14"/>
    <w:rsid w:val="50855702"/>
    <w:rsid w:val="50DF6F62"/>
    <w:rsid w:val="513D41D6"/>
    <w:rsid w:val="516D4C80"/>
    <w:rsid w:val="52B3751A"/>
    <w:rsid w:val="54C9517D"/>
    <w:rsid w:val="54CE150C"/>
    <w:rsid w:val="55175CA3"/>
    <w:rsid w:val="55181469"/>
    <w:rsid w:val="55F71738"/>
    <w:rsid w:val="5971375F"/>
    <w:rsid w:val="5B414DA7"/>
    <w:rsid w:val="5B8A4E15"/>
    <w:rsid w:val="5BE56AFB"/>
    <w:rsid w:val="5C5C1578"/>
    <w:rsid w:val="5D5F16A9"/>
    <w:rsid w:val="5D9C58DF"/>
    <w:rsid w:val="5DC32037"/>
    <w:rsid w:val="5E65545C"/>
    <w:rsid w:val="5E6E3D2D"/>
    <w:rsid w:val="5EBD1A1C"/>
    <w:rsid w:val="5ED66574"/>
    <w:rsid w:val="5F4D50E3"/>
    <w:rsid w:val="60060A1F"/>
    <w:rsid w:val="6016361D"/>
    <w:rsid w:val="60EA02FE"/>
    <w:rsid w:val="60ED547E"/>
    <w:rsid w:val="618F5A3C"/>
    <w:rsid w:val="62320157"/>
    <w:rsid w:val="62497091"/>
    <w:rsid w:val="64B06247"/>
    <w:rsid w:val="64C84DE4"/>
    <w:rsid w:val="64CA5F47"/>
    <w:rsid w:val="654254C3"/>
    <w:rsid w:val="66AD2BA4"/>
    <w:rsid w:val="67F7525A"/>
    <w:rsid w:val="685C03CB"/>
    <w:rsid w:val="68634BD5"/>
    <w:rsid w:val="68917FB6"/>
    <w:rsid w:val="68F04DBC"/>
    <w:rsid w:val="69DD3507"/>
    <w:rsid w:val="6EBF72DF"/>
    <w:rsid w:val="70D855AD"/>
    <w:rsid w:val="7141612A"/>
    <w:rsid w:val="715A644A"/>
    <w:rsid w:val="72084591"/>
    <w:rsid w:val="72332830"/>
    <w:rsid w:val="725D2C65"/>
    <w:rsid w:val="728A70F2"/>
    <w:rsid w:val="72975A37"/>
    <w:rsid w:val="72E66F89"/>
    <w:rsid w:val="73755337"/>
    <w:rsid w:val="73B2030A"/>
    <w:rsid w:val="7419338E"/>
    <w:rsid w:val="741C1B49"/>
    <w:rsid w:val="79104225"/>
    <w:rsid w:val="79BA4446"/>
    <w:rsid w:val="7E22337E"/>
    <w:rsid w:val="7EFF2A80"/>
    <w:rsid w:val="7F06695D"/>
    <w:rsid w:val="7F6B3CCC"/>
    <w:rsid w:val="7F87589E"/>
    <w:rsid w:val="7F9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图标题"/>
    <w:basedOn w:val="1"/>
    <w:qFormat/>
    <w:uiPriority w:val="0"/>
    <w:pPr>
      <w:numPr>
        <w:ilvl w:val="0"/>
        <w:numId w:val="1"/>
      </w:numPr>
      <w:adjustRightInd w:val="0"/>
      <w:snapToGrid w:val="0"/>
      <w:ind w:left="0" w:firstLine="0"/>
      <w:jc w:val="center"/>
    </w:pPr>
    <w:rPr>
      <w:rFonts w:hint="eastAsia" w:ascii="Times New Roman" w:hAnsi="Times New Roman" w:eastAsia="宋体"/>
      <w:b/>
      <w:color w:val="000000"/>
      <w:spacing w:val="-2"/>
      <w:kern w:val="28"/>
      <w:szCs w:val="21"/>
    </w:rPr>
  </w:style>
  <w:style w:type="paragraph" w:customStyle="1" w:styleId="9">
    <w:name w:val="表格标题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hint="eastAsia" w:ascii="Times New Roman" w:hAnsi="Times New Roman" w:eastAsia="宋体"/>
      <w:b/>
      <w:color w:val="000000"/>
      <w:spacing w:val="-2"/>
      <w:kern w:val="28"/>
      <w:szCs w:val="21"/>
    </w:rPr>
  </w:style>
  <w:style w:type="paragraph" w:customStyle="1" w:styleId="10">
    <w:name w:val="表格内居中字体"/>
    <w:basedOn w:val="1"/>
    <w:qFormat/>
    <w:uiPriority w:val="0"/>
    <w:pPr>
      <w:ind w:firstLine="0" w:firstLineChars="0"/>
      <w:jc w:val="center"/>
    </w:pPr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23</Characters>
  <Lines>1</Lines>
  <Paragraphs>1</Paragraphs>
  <TotalTime>22</TotalTime>
  <ScaleCrop>false</ScaleCrop>
  <LinksUpToDate>false</LinksUpToDate>
  <CharactersWithSpaces>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2022-01-11T02:52:00Z</dcterms:created>
  <dc:creator>M _seven</dc:creator>
  <cp:lastModifiedBy>Administrator</cp:lastModifiedBy>
  <dcterms:modified xsi:type="dcterms:W3CDTF">2022-02-08T09:28:31Z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69FB107AA8B24F59AD8F89AA23A2B21C</vt:lpwstr>
  </property>
</Properties>
</file>